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proofErr w:type="gramStart"/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proofErr w:type="gramEnd"/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bookmarkStart w:id="1" w:name="_GoBack"/>
      <w:bookmarkEnd w:id="0"/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  <w:bookmarkEnd w:id="1"/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proofErr w:type="gramStart"/>
      <w:r w:rsidR="003979C3">
        <w:rPr>
          <w:rFonts w:ascii="標楷體" w:eastAsia="標楷體" w:hAnsi="標楷體" w:hint="eastAsia"/>
          <w:szCs w:val="28"/>
        </w:rPr>
        <w:t>110</w:t>
      </w:r>
      <w:proofErr w:type="gramEnd"/>
      <w:r w:rsidR="003979C3">
        <w:rPr>
          <w:rFonts w:ascii="標楷體" w:eastAsia="標楷體" w:hAnsi="標楷體" w:hint="eastAsia"/>
          <w:szCs w:val="28"/>
        </w:rPr>
        <w:t>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E3775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E37751">
        <w:rPr>
          <w:rFonts w:ascii="標楷體" w:eastAsia="標楷體" w:hAnsi="標楷體" w:hint="eastAsia"/>
          <w:color w:val="000000"/>
        </w:rPr>
        <w:t>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proofErr w:type="gramStart"/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proofErr w:type="gramEnd"/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</w:t>
      </w:r>
      <w:proofErr w:type="gramStart"/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採網路線上報名</w:t>
      </w:r>
      <w:proofErr w:type="gramEnd"/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53" w:hangingChars="230" w:hanging="553"/>
        <w:rPr>
          <w:rFonts w:ascii="Times New Roman" w:eastAsia="標楷體" w:hAnsi="Times New Roman" w:cs="Times New Roman"/>
          <w:bCs/>
          <w:color w:val="000000"/>
          <w:szCs w:val="28"/>
        </w:rPr>
      </w:pPr>
      <w:proofErr w:type="gramStart"/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proofErr w:type="gramEnd"/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</w:t>
      </w:r>
      <w:proofErr w:type="gramStart"/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疫</w:t>
      </w:r>
      <w:proofErr w:type="gramEnd"/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因應新冠肺炎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防疫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期間，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因應新冠肺炎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疫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若於營隊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期間查明有隱瞞列管身分情事者，馬上取消其營隊資格，不得異議。</w:t>
      </w:r>
    </w:p>
    <w:p w:rsidR="00E06C2A" w:rsidRDefault="00A7207C" w:rsidP="007229E2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3979C3" w:rsidRPr="003979C3">
        <w:rPr>
          <w:rFonts w:ascii="標楷體" w:eastAsia="標楷體" w:hAnsi="標楷體"/>
          <w:b/>
          <w:sz w:val="28"/>
          <w:szCs w:val="28"/>
        </w:rPr>
        <w:t>110</w:t>
      </w:r>
      <w:proofErr w:type="gramEnd"/>
      <w:r w:rsidR="003979C3" w:rsidRPr="003979C3">
        <w:rPr>
          <w:rFonts w:ascii="標楷體" w:eastAsia="標楷體" w:hAnsi="標楷體"/>
          <w:b/>
          <w:sz w:val="28"/>
          <w:szCs w:val="28"/>
        </w:rPr>
        <w:t>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</w:t>
            </w:r>
            <w:proofErr w:type="gramStart"/>
            <w:r w:rsidRPr="00A73CDB">
              <w:rPr>
                <w:rFonts w:ascii="標楷體" w:eastAsia="標楷體" w:hAnsi="標楷體" w:hint="eastAsia"/>
                <w:b/>
              </w:rPr>
              <w:t>格書創作</w:t>
            </w:r>
            <w:proofErr w:type="gramEnd"/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</w:t>
            </w:r>
            <w:proofErr w:type="gramStart"/>
            <w:r>
              <w:rPr>
                <w:rFonts w:ascii="標楷體" w:eastAsia="標楷體" w:hAnsi="標楷體" w:hint="eastAsia"/>
              </w:rPr>
              <w:t>故事情的趣味</w:t>
            </w:r>
            <w:proofErr w:type="gramEnd"/>
            <w:r>
              <w:rPr>
                <w:rFonts w:ascii="標楷體" w:eastAsia="標楷體" w:hAnsi="標楷體" w:hint="eastAsia"/>
              </w:rPr>
              <w:t>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</w:t>
            </w:r>
            <w:proofErr w:type="gramStart"/>
            <w:r w:rsidRPr="00617196">
              <w:rPr>
                <w:rFonts w:ascii="標楷體" w:eastAsia="標楷體" w:hAnsi="標楷體" w:hint="eastAsia"/>
              </w:rPr>
              <w:t>云</w:t>
            </w:r>
            <w:proofErr w:type="gramEnd"/>
            <w:r w:rsidRPr="00617196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</w:t>
            </w:r>
            <w:proofErr w:type="gramStart"/>
            <w:r w:rsidRPr="007D5290">
              <w:rPr>
                <w:rFonts w:ascii="標楷體" w:eastAsia="標楷體" w:hAnsi="標楷體" w:cs="Times New Roman" w:hint="eastAsia"/>
                <w:b/>
              </w:rPr>
              <w:t>覽</w:t>
            </w:r>
            <w:proofErr w:type="gramEnd"/>
            <w:r w:rsidRPr="007D5290">
              <w:rPr>
                <w:rFonts w:ascii="標楷體" w:eastAsia="標楷體" w:hAnsi="標楷體" w:cs="Times New Roman" w:hint="eastAsia"/>
                <w:b/>
              </w:rPr>
              <w:t>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</w:t>
            </w:r>
            <w:proofErr w:type="gramStart"/>
            <w:r w:rsidRPr="006D67FA">
              <w:rPr>
                <w:rFonts w:ascii="標楷體" w:eastAsia="標楷體" w:hAnsi="標楷體" w:hint="eastAsia"/>
                <w:highlight w:val="yellow"/>
              </w:rPr>
              <w:t>云</w:t>
            </w:r>
            <w:proofErr w:type="gramEnd"/>
            <w:r w:rsidRPr="006D67FA">
              <w:rPr>
                <w:rFonts w:ascii="標楷體" w:eastAsia="標楷體" w:hAnsi="標楷體" w:hint="eastAsia"/>
                <w:highlight w:val="yellow"/>
              </w:rPr>
              <w:t xml:space="preserve">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</w:t>
            </w:r>
            <w:proofErr w:type="gramStart"/>
            <w:r w:rsidRPr="006B4C7B">
              <w:rPr>
                <w:rFonts w:ascii="標楷體" w:eastAsia="標楷體" w:hAnsi="標楷體" w:hint="eastAsia"/>
              </w:rPr>
              <w:t>及隊呼設計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proofErr w:type="gramStart"/>
            <w:r w:rsidRPr="00F05599">
              <w:rPr>
                <w:rFonts w:ascii="標楷體" w:eastAsia="標楷體" w:hAnsi="標楷體" w:hint="eastAsia"/>
              </w:rPr>
              <w:t>結業式暨頒獎</w:t>
            </w:r>
            <w:proofErr w:type="gramEnd"/>
            <w:r w:rsidRPr="00F05599">
              <w:rPr>
                <w:rFonts w:ascii="標楷體" w:eastAsia="標楷體" w:hAnsi="標楷體" w:hint="eastAsia"/>
              </w:rPr>
              <w:t>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624FCB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CB" w:rsidRDefault="00624FCB" w:rsidP="00670F6F">
      <w:r>
        <w:separator/>
      </w:r>
    </w:p>
  </w:endnote>
  <w:endnote w:type="continuationSeparator" w:id="0">
    <w:p w:rsidR="00624FCB" w:rsidRDefault="00624FCB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altName w:val="華康細明體(P)-UN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CB" w:rsidRDefault="00624FCB" w:rsidP="00670F6F">
      <w:r>
        <w:separator/>
      </w:r>
    </w:p>
  </w:footnote>
  <w:footnote w:type="continuationSeparator" w:id="0">
    <w:p w:rsidR="00624FCB" w:rsidRDefault="00624FCB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624FCB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016805"/>
    <w:rsid w:val="000F6CF5"/>
    <w:rsid w:val="00105BA4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64CE"/>
    <w:rsid w:val="004F25BF"/>
    <w:rsid w:val="0051663E"/>
    <w:rsid w:val="005E59EA"/>
    <w:rsid w:val="00617196"/>
    <w:rsid w:val="00624FCB"/>
    <w:rsid w:val="00670F6F"/>
    <w:rsid w:val="006949D6"/>
    <w:rsid w:val="006B6782"/>
    <w:rsid w:val="006D67FA"/>
    <w:rsid w:val="00710ADC"/>
    <w:rsid w:val="007229E2"/>
    <w:rsid w:val="00766811"/>
    <w:rsid w:val="007A332A"/>
    <w:rsid w:val="007D2AD4"/>
    <w:rsid w:val="007D5290"/>
    <w:rsid w:val="007E69BD"/>
    <w:rsid w:val="00803DB3"/>
    <w:rsid w:val="00823D27"/>
    <w:rsid w:val="0083004B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E2B2E"/>
    <w:rsid w:val="00AE3DD0"/>
    <w:rsid w:val="00B25035"/>
    <w:rsid w:val="00B3588C"/>
    <w:rsid w:val="00B57408"/>
    <w:rsid w:val="00B616A4"/>
    <w:rsid w:val="00BF5E25"/>
    <w:rsid w:val="00C272C1"/>
    <w:rsid w:val="00C501B9"/>
    <w:rsid w:val="00C7067F"/>
    <w:rsid w:val="00D30389"/>
    <w:rsid w:val="00D737E3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6FFC6-EB50-4679-BE77-244DE1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CEBE-823F-42A3-AAF5-2C295368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2020-02-19T02:47:00Z</cp:lastPrinted>
  <dcterms:created xsi:type="dcterms:W3CDTF">2021-04-09T01:30:00Z</dcterms:created>
  <dcterms:modified xsi:type="dcterms:W3CDTF">2021-04-09T01:30:00Z</dcterms:modified>
</cp:coreProperties>
</file>